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F305BB" w:rsidRPr="007B6C7D" w:rsidTr="001357AE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47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1357AE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47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1357AE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47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1357AE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1357AE">
        <w:tc>
          <w:tcPr>
            <w:tcW w:w="4515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47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1357AE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47" w:type="dxa"/>
          </w:tcPr>
          <w:p w:rsidR="00F305BB" w:rsidRPr="00133874" w:rsidRDefault="00594881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61389E"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F305BB" w:rsidRPr="007B6C7D" w:rsidTr="001357AE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47" w:type="dxa"/>
          </w:tcPr>
          <w:p w:rsidR="00F305BB" w:rsidRPr="00851FE6" w:rsidRDefault="009F457B" w:rsidP="004A450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4508">
              <w:rPr>
                <w:rFonts w:ascii="Times New Roman" w:hAnsi="Times New Roman"/>
              </w:rPr>
              <w:t>7</w:t>
            </w:r>
            <w:r w:rsidR="00851FE6" w:rsidRPr="00851FE6">
              <w:rPr>
                <w:rFonts w:ascii="Times New Roman" w:hAnsi="Times New Roman"/>
              </w:rPr>
              <w:t>. 1</w:t>
            </w:r>
            <w:r w:rsidR="004A4508">
              <w:rPr>
                <w:rFonts w:ascii="Times New Roman" w:hAnsi="Times New Roman"/>
              </w:rPr>
              <w:t>2</w:t>
            </w:r>
            <w:r w:rsidR="00851FE6" w:rsidRPr="00851FE6">
              <w:rPr>
                <w:rFonts w:ascii="Times New Roman" w:hAnsi="Times New Roman"/>
              </w:rPr>
              <w:t>. 2019</w:t>
            </w:r>
          </w:p>
        </w:tc>
      </w:tr>
      <w:tr w:rsidR="00F305BB" w:rsidRPr="007B6C7D" w:rsidTr="001357AE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47" w:type="dxa"/>
          </w:tcPr>
          <w:p w:rsidR="00F305BB" w:rsidRPr="00851FE6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 w:rsidRPr="00851FE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  <w:r w:rsidR="00D034A2">
              <w:rPr>
                <w:rFonts w:ascii="Times New Roman" w:hAnsi="Times New Roman"/>
                <w:color w:val="000000"/>
                <w:lang w:eastAsia="sk-SK"/>
              </w:rPr>
              <w:t>, Slovenská Ľupča</w:t>
            </w:r>
          </w:p>
        </w:tc>
      </w:tr>
      <w:tr w:rsidR="00F305BB" w:rsidRPr="007B6C7D" w:rsidTr="001357AE">
        <w:tc>
          <w:tcPr>
            <w:tcW w:w="4515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47" w:type="dxa"/>
          </w:tcPr>
          <w:p w:rsidR="00F305BB" w:rsidRPr="00851FE6" w:rsidRDefault="00851FE6" w:rsidP="00851F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851FE6">
              <w:rPr>
                <w:rFonts w:ascii="Times New Roman" w:hAnsi="Times New Roman"/>
              </w:rPr>
              <w:t>Mgr. Marcela Kramcová</w:t>
            </w:r>
          </w:p>
        </w:tc>
      </w:tr>
      <w:tr w:rsidR="00F305BB" w:rsidRPr="007B6C7D" w:rsidTr="001357AE">
        <w:tc>
          <w:tcPr>
            <w:tcW w:w="4515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47" w:type="dxa"/>
          </w:tcPr>
          <w:p w:rsidR="00F305BB" w:rsidRPr="00F23BEF" w:rsidRDefault="000461F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464E01">
                <w:rPr>
                  <w:rStyle w:val="Hypertextovprepojenie"/>
                </w:rPr>
                <w:t>http://www.zsslovlupca.edu.sk/</w:t>
              </w:r>
            </w:hyperlink>
          </w:p>
        </w:tc>
      </w:tr>
      <w:tr w:rsidR="00F305BB" w:rsidRPr="007B6C7D" w:rsidTr="001357AE">
        <w:trPr>
          <w:trHeight w:val="6419"/>
        </w:trPr>
        <w:tc>
          <w:tcPr>
            <w:tcW w:w="9062" w:type="dxa"/>
            <w:gridSpan w:val="2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CF2DCD" w:rsidRDefault="00CF2DCD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F5976" w:rsidRDefault="00DF597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Podľa výskumov pri porozumení obsahu čítaného textu zohrávajú u detí významnú úlohu ich doterajšie vedomosti, pretože dávajú do vzťahu informácie z daného textu s tým, čo má uložené v mozgu. Uplatnenie stratégie EUR je predpoklado</w:t>
            </w:r>
            <w:r w:rsidR="00116A38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 pre aktívne učenie sa. Umožňuje žiakom využívať rôzne kognitívne procesy. V tomto trojfázovom modeli myslenia a učenia sa žiaci prechádzajú krokmi pred učením sa, počas neho a po učení. Rozvíja aj schopnosť kriticky myslieť a uvažovať. Počas evokácie skúma vlastnú vedomostnú bázu, počas uvedomenia si dopĺňa nové informácie do svojich</w:t>
            </w:r>
            <w:r w:rsidR="00CD1C42">
              <w:rPr>
                <w:rFonts w:ascii="Times New Roman" w:hAnsi="Times New Roman"/>
              </w:rPr>
              <w:t xml:space="preserve"> existujúcich pamäťových schém. Až počas reflexie dochádza k skutočnému osvojovaniu si </w:t>
            </w:r>
            <w:r w:rsidR="00205B45">
              <w:rPr>
                <w:rFonts w:ascii="Times New Roman" w:hAnsi="Times New Roman"/>
              </w:rPr>
              <w:t>nových poznatkov</w:t>
            </w:r>
            <w:r w:rsidR="00CD1C42">
              <w:rPr>
                <w:rFonts w:ascii="Times New Roman" w:hAnsi="Times New Roman"/>
              </w:rPr>
              <w:t xml:space="preserve">.  </w:t>
            </w:r>
          </w:p>
          <w:p w:rsidR="00205B45" w:rsidRDefault="00205B45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 osvojenie čitateľskej stratégie EUR bol zvolený súvislý populárno-náučný text z oblasti techniky s prepojením na environmentálnu výchovu s názvom „Elektrické lietadlo NASA vzlietne na budúci rok“. Úlohy v pracovnom liste sú koncipované tak, aby žiakov pripravili na príjem nových informácií, sprevádzali ich pri vnímaní obsahu textu a následne transformovali poznatky na hlbšie vedomosti. </w:t>
            </w:r>
          </w:p>
          <w:p w:rsidR="00851FE6" w:rsidRPr="00CD1C42" w:rsidRDefault="00205B45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Výsledný pracovný list obsahuje východiskový text a úlohy uplatňujúce čitateľskú stratégiu EUR.</w:t>
            </w:r>
          </w:p>
          <w:p w:rsidR="00851FE6" w:rsidRPr="00CD1C42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851FE6" w:rsidRPr="00CD1C42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851FE6" w:rsidRPr="00205B45" w:rsidRDefault="00851FE6" w:rsidP="00851FE6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205B45">
              <w:rPr>
                <w:rFonts w:ascii="Times New Roman" w:hAnsi="Times New Roman"/>
              </w:rPr>
              <w:t>Kľúčové slová:</w:t>
            </w:r>
          </w:p>
          <w:p w:rsidR="00851FE6" w:rsidRPr="007B6C7D" w:rsidRDefault="00205B45" w:rsidP="000B2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D1C42">
              <w:rPr>
                <w:rFonts w:ascii="Times New Roman" w:hAnsi="Times New Roman"/>
              </w:rPr>
              <w:t>tratégia EUR, evokácia, uvedomenie, reflexia</w:t>
            </w:r>
          </w:p>
        </w:tc>
      </w:tr>
      <w:tr w:rsidR="00F305BB" w:rsidRPr="007B6C7D" w:rsidTr="001357AE">
        <w:trPr>
          <w:trHeight w:val="6419"/>
        </w:trPr>
        <w:tc>
          <w:tcPr>
            <w:tcW w:w="9062" w:type="dxa"/>
            <w:gridSpan w:val="2"/>
          </w:tcPr>
          <w:p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6C1DD1" w:rsidRDefault="006C1DD1" w:rsidP="00C6666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prvej časti stretnutia  členovia klubu diskutovali o doterajšom priebehu vyučovania predmetu čitateľské dielne v 5., 7. a 9. ročníku. Žiaci 7. ročníka začali pracovať metódou samostatného čítania vlastných kníh s následnou diskusiou na zadanú otázku. Čítanie zaujalo aj žiakov so ŠVVP a dokážu sa 45 minút sústrediť na čítaný text. Zároveň J. Jamrišková informovala o výsledkoch pilotovania pracovného listu s využitím metakognitívnych procesov, ktorý členovia klubu vytvorili na stretnutí 5. 11. 2019</w:t>
            </w:r>
          </w:p>
          <w:p w:rsidR="004A474B" w:rsidRPr="00C66668" w:rsidRDefault="00851FE6" w:rsidP="00C66668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66668">
              <w:rPr>
                <w:rFonts w:ascii="Times New Roman" w:hAnsi="Times New Roman"/>
              </w:rPr>
              <w:t>V</w:t>
            </w:r>
            <w:r w:rsidR="006C1DD1">
              <w:rPr>
                <w:rFonts w:ascii="Times New Roman" w:hAnsi="Times New Roman"/>
              </w:rPr>
              <w:t> ďalšej časti stretnutia</w:t>
            </w:r>
            <w:r w:rsidRPr="00C66668">
              <w:rPr>
                <w:rFonts w:ascii="Times New Roman" w:hAnsi="Times New Roman"/>
              </w:rPr>
              <w:t xml:space="preserve"> sa členovia klubu oboznámili s problematikou </w:t>
            </w:r>
            <w:r w:rsidR="000B28AC" w:rsidRPr="00C66668">
              <w:rPr>
                <w:rFonts w:ascii="Times New Roman" w:hAnsi="Times New Roman"/>
              </w:rPr>
              <w:t xml:space="preserve">čitateľskej stratégie </w:t>
            </w:r>
            <w:r w:rsidR="004A4508">
              <w:rPr>
                <w:rFonts w:ascii="Times New Roman" w:hAnsi="Times New Roman"/>
              </w:rPr>
              <w:t>EUR</w:t>
            </w:r>
            <w:r w:rsidR="008A0379" w:rsidRPr="00C66668">
              <w:rPr>
                <w:rFonts w:ascii="Times New Roman" w:hAnsi="Times New Roman"/>
              </w:rPr>
              <w:t xml:space="preserve">, </w:t>
            </w:r>
            <w:r w:rsidRPr="00C66668">
              <w:rPr>
                <w:rFonts w:ascii="Times New Roman" w:hAnsi="Times New Roman"/>
              </w:rPr>
              <w:t xml:space="preserve"> a to zo zdrojov: </w:t>
            </w:r>
          </w:p>
          <w:p w:rsidR="004A4508" w:rsidRDefault="000461FB" w:rsidP="006C1DD1">
            <w:pPr>
              <w:pStyle w:val="Odsekzoznamu"/>
              <w:spacing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9" w:history="1">
              <w:r w:rsidR="004A4508" w:rsidRPr="00A32AD3">
                <w:rPr>
                  <w:rStyle w:val="Hypertextovprepojenie"/>
                  <w:rFonts w:ascii="Times New Roman" w:hAnsi="Times New Roman"/>
                </w:rPr>
                <w:t>https://mpc-edu.sk/sites/default/files/publikacie/_itate_sk__gramotnos__na_vyu_ovan_.pdf</w:t>
              </w:r>
            </w:hyperlink>
          </w:p>
          <w:p w:rsidR="008F19F0" w:rsidRDefault="000461FB" w:rsidP="006C1DD1">
            <w:pPr>
              <w:pStyle w:val="Odsekzoznamu"/>
              <w:spacing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10" w:history="1">
              <w:r w:rsidR="00273AB8" w:rsidRPr="00A32AD3">
                <w:rPr>
                  <w:rStyle w:val="Hypertextovprepojenie"/>
                  <w:rFonts w:ascii="Times New Roman" w:hAnsi="Times New Roman"/>
                </w:rPr>
                <w:t>https://mpc-edu.sk/sites/default/files/rozhlady-casopis/pedagogicke_rozhlady_2016_4.pdf</w:t>
              </w:r>
            </w:hyperlink>
          </w:p>
          <w:p w:rsidR="00273AB8" w:rsidRDefault="00273AB8" w:rsidP="006C1DD1">
            <w:pPr>
              <w:pStyle w:val="Odsekzoznamu"/>
              <w:spacing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273AB8">
              <w:rPr>
                <w:rFonts w:ascii="Times New Roman" w:hAnsi="Times New Roman"/>
                <w:color w:val="0000FF"/>
                <w:u w:val="single"/>
              </w:rPr>
              <w:t>http://www.statpedu.sk/files/articles/dokumenty/ucebnice-metodiky-publikacie/globalne_vzdelavanie_metody_vystup-phu_20.pdf</w:t>
            </w:r>
          </w:p>
          <w:p w:rsidR="006C1DD1" w:rsidRPr="006C1DD1" w:rsidRDefault="006C1DD1" w:rsidP="006C1DD1">
            <w:pPr>
              <w:pStyle w:val="Odsekzoznamu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C1DD1">
              <w:rPr>
                <w:rFonts w:ascii="Times New Roman" w:hAnsi="Times New Roman"/>
                <w:color w:val="000000" w:themeColor="text1"/>
              </w:rPr>
              <w:t>Podstatou tejto metódy je pomôcť žiakovi porozumieť vecnému textu</w:t>
            </w:r>
            <w:r w:rsidR="006C1337">
              <w:rPr>
                <w:rFonts w:ascii="Times New Roman" w:hAnsi="Times New Roman"/>
                <w:color w:val="000000" w:themeColor="text1"/>
              </w:rPr>
              <w:t xml:space="preserve"> členením hodiny na tri fázy: evokácia, uvedomenie, reflexia. V prvej fáze si žiaci vybavujú a aktivizujú už známe informácie o téme, o ktorej budú získavať nové poznatky. Ide o motivovanie žiakov, čo má kladný vplyv na uľahčenie pochopenia učiva a jeho zapamätanie</w:t>
            </w:r>
            <w:r w:rsidR="006C007C">
              <w:rPr>
                <w:rFonts w:ascii="Times New Roman" w:hAnsi="Times New Roman"/>
                <w:color w:val="000000" w:themeColor="text1"/>
              </w:rPr>
              <w:t xml:space="preserve"> (rozhovor pred čítaním, brainstorming, stanovenie cieľa práce s textom, prezeranie vonkajšej a vnútornej formy textu, predpovedanie obsahu textu</w:t>
            </w:r>
            <w:r w:rsidR="008F19F0">
              <w:rPr>
                <w:rFonts w:ascii="Times New Roman" w:hAnsi="Times New Roman"/>
                <w:color w:val="000000" w:themeColor="text1"/>
              </w:rPr>
              <w:t>)</w:t>
            </w:r>
            <w:r w:rsidR="006C1337">
              <w:rPr>
                <w:rFonts w:ascii="Times New Roman" w:hAnsi="Times New Roman"/>
                <w:color w:val="000000" w:themeColor="text1"/>
              </w:rPr>
              <w:t xml:space="preserve">. V druhej fáze – uvedomenie – žiaci prichádzajú do kontaktu s novými informáciami (čítajú text). </w:t>
            </w:r>
            <w:r w:rsidR="00CD1C42">
              <w:rPr>
                <w:rFonts w:ascii="Times New Roman" w:hAnsi="Times New Roman"/>
                <w:color w:val="000000" w:themeColor="text1"/>
              </w:rPr>
              <w:t xml:space="preserve">U žiakov vzniká stav kognitívnej nerovnováhy, učiteľ pripravuje také pedagogicko-didaktické situácie, aby u žiakov vyvolal rozpor v poznaní. </w:t>
            </w:r>
            <w:r w:rsidR="006C1337">
              <w:rPr>
                <w:rFonts w:ascii="Times New Roman" w:hAnsi="Times New Roman"/>
                <w:color w:val="000000" w:themeColor="text1"/>
              </w:rPr>
              <w:t>Učiteľ by mal udržiavať záujem žiaka vhodnými otázkami a priebežne vytvárať záznam, ktorý tvoria výsledky premýšľania o</w:t>
            </w:r>
            <w:r w:rsidR="008F19F0">
              <w:rPr>
                <w:rFonts w:ascii="Times New Roman" w:hAnsi="Times New Roman"/>
                <w:color w:val="000000" w:themeColor="text1"/>
              </w:rPr>
              <w:t> </w:t>
            </w:r>
            <w:r w:rsidR="006C1337">
              <w:rPr>
                <w:rFonts w:ascii="Times New Roman" w:hAnsi="Times New Roman"/>
                <w:color w:val="000000" w:themeColor="text1"/>
              </w:rPr>
              <w:t>texte</w:t>
            </w:r>
            <w:r w:rsidR="008F19F0">
              <w:rPr>
                <w:rFonts w:ascii="Times New Roman" w:hAnsi="Times New Roman"/>
                <w:color w:val="000000" w:themeColor="text1"/>
              </w:rPr>
              <w:t xml:space="preserve"> (porovnanie predpokladov s reálnymi faktami) </w:t>
            </w:r>
            <w:r w:rsidR="006C1337">
              <w:rPr>
                <w:rFonts w:ascii="Times New Roman" w:hAnsi="Times New Roman"/>
                <w:color w:val="000000" w:themeColor="text1"/>
              </w:rPr>
              <w:t xml:space="preserve">. V záverečnej časti si žiak uvedomuje, čo sa naučil, </w:t>
            </w:r>
            <w:r w:rsidR="006C007C">
              <w:rPr>
                <w:rFonts w:ascii="Times New Roman" w:hAnsi="Times New Roman"/>
                <w:color w:val="000000" w:themeColor="text1"/>
              </w:rPr>
              <w:t>hodnotí nové poznatky, formuluje problémy, ktoré vznikli v priebehu učenia, upevňuje si nové poznatky</w:t>
            </w:r>
            <w:r w:rsidR="008F19F0">
              <w:rPr>
                <w:rFonts w:ascii="Times New Roman" w:hAnsi="Times New Roman"/>
                <w:color w:val="000000" w:themeColor="text1"/>
              </w:rPr>
              <w:t xml:space="preserve"> (vyjadrenie nových informácií </w:t>
            </w:r>
            <w:r w:rsidR="008F19F0" w:rsidRPr="00CD1C42">
              <w:rPr>
                <w:rFonts w:ascii="Times New Roman" w:hAnsi="Times New Roman"/>
                <w:color w:val="000000" w:themeColor="text1"/>
                <w:u w:val="single"/>
              </w:rPr>
              <w:t>vlastnými slovami</w:t>
            </w:r>
            <w:r w:rsidR="008F19F0">
              <w:rPr>
                <w:rFonts w:ascii="Times New Roman" w:hAnsi="Times New Roman"/>
                <w:color w:val="000000" w:themeColor="text1"/>
              </w:rPr>
              <w:t>, aplikácia nových poznatkov v praxi, zisťovanie úrovne porozumenia textu)</w:t>
            </w:r>
            <w:r w:rsidR="006C007C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  <w:p w:rsidR="004A4508" w:rsidRDefault="004A4508" w:rsidP="004A4508">
            <w:pPr>
              <w:pStyle w:val="Odsekzoznamu"/>
              <w:spacing w:line="240" w:lineRule="auto"/>
              <w:rPr>
                <w:rFonts w:ascii="Times New Roman" w:hAnsi="Times New Roman"/>
                <w:color w:val="0000FF"/>
                <w:u w:val="single"/>
              </w:rPr>
            </w:pPr>
          </w:p>
          <w:p w:rsidR="005D5522" w:rsidRPr="00374277" w:rsidRDefault="00D034A2" w:rsidP="00374277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74277">
              <w:rPr>
                <w:rFonts w:ascii="Times New Roman" w:hAnsi="Times New Roman"/>
              </w:rPr>
              <w:t>V </w:t>
            </w:r>
            <w:r w:rsidR="00273AB8" w:rsidRPr="00374277">
              <w:rPr>
                <w:rFonts w:ascii="Times New Roman" w:hAnsi="Times New Roman"/>
              </w:rPr>
              <w:t>tretej</w:t>
            </w:r>
            <w:r w:rsidRPr="00374277">
              <w:rPr>
                <w:rFonts w:ascii="Times New Roman" w:hAnsi="Times New Roman"/>
              </w:rPr>
              <w:t xml:space="preserve"> časti stretnutia členovia klubu tvorili </w:t>
            </w:r>
            <w:r w:rsidR="00C8022B" w:rsidRPr="00374277">
              <w:rPr>
                <w:rFonts w:ascii="Times New Roman" w:hAnsi="Times New Roman"/>
              </w:rPr>
              <w:t>úlohy k informačnému súvislému textu s názvom „</w:t>
            </w:r>
            <w:r w:rsidR="00205B45" w:rsidRPr="00374277">
              <w:rPr>
                <w:rFonts w:ascii="Times New Roman" w:hAnsi="Times New Roman"/>
              </w:rPr>
              <w:t>Elektrické lietadlo NASA vzlietne na budúci rok</w:t>
            </w:r>
            <w:r w:rsidR="00C8022B" w:rsidRPr="00374277">
              <w:rPr>
                <w:rFonts w:ascii="Times New Roman" w:hAnsi="Times New Roman"/>
              </w:rPr>
              <w:t>“</w:t>
            </w:r>
            <w:r w:rsidR="00205B45" w:rsidRPr="00374277">
              <w:rPr>
                <w:rFonts w:ascii="Times New Roman" w:hAnsi="Times New Roman"/>
              </w:rPr>
              <w:t>. Ide o veku primeraný náučný text o výsledkoch vývoja experimentálneho lietadla</w:t>
            </w:r>
            <w:r w:rsidR="005B2FB3" w:rsidRPr="00374277">
              <w:rPr>
                <w:rFonts w:ascii="Times New Roman" w:hAnsi="Times New Roman"/>
              </w:rPr>
              <w:t xml:space="preserve">. Téma ekologických alternatív k súčasným dopravným prostriedkom je medzi žiakmi najmä vyšších ročníkov veľmi populárna, takže text spĺňa základné kritérium pútavosti pre žiakov. </w:t>
            </w:r>
            <w:r w:rsidR="001D60B7" w:rsidRPr="00374277">
              <w:rPr>
                <w:rFonts w:ascii="Times New Roman" w:hAnsi="Times New Roman"/>
              </w:rPr>
              <w:t xml:space="preserve">Úvodné úlohy sú zamerané na </w:t>
            </w:r>
            <w:r w:rsidR="005B2FB3" w:rsidRPr="00374277">
              <w:rPr>
                <w:rFonts w:ascii="Times New Roman" w:hAnsi="Times New Roman"/>
              </w:rPr>
              <w:t xml:space="preserve">motiváciu žiakov na tému textu, prezentáciu ich doterajších vedomostí a názorov na tému, predpoklad obsahu textu na základe obrázkov, podtitulku (metóda päťlístka). Nasledujú úlohy sprevádzajúce žiakov vnímaním a chápaním textu (prostredníctvom tvorby otázok a odpovedí, dopĺňaním slov do viet súvisiacich s obsahom textu). Otázky a úlohy v tejto fáze sú usporiadané vzostupne podľa jednotlivých procesov porozumenia textu. </w:t>
            </w:r>
            <w:r w:rsidR="00903840" w:rsidRPr="00374277">
              <w:rPr>
                <w:rFonts w:ascii="Times New Roman" w:hAnsi="Times New Roman"/>
              </w:rPr>
              <w:t xml:space="preserve"> </w:t>
            </w:r>
            <w:r w:rsidR="00374277" w:rsidRPr="00374277">
              <w:rPr>
                <w:rFonts w:ascii="Times New Roman" w:hAnsi="Times New Roman"/>
              </w:rPr>
              <w:t>Záverečná fáza (reflexia) sa realizuje formou nedokončených viet, ktoré sú štylizované tak, aby ich žiaci dokončili s uplatnením sebareflexie.</w:t>
            </w:r>
          </w:p>
          <w:p w:rsidR="00F305BB" w:rsidRPr="007B6C7D" w:rsidRDefault="00C8022B" w:rsidP="00D64066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374277">
              <w:rPr>
                <w:rFonts w:ascii="Times New Roman" w:hAnsi="Times New Roman"/>
              </w:rPr>
              <w:t>Pracovný list s úlohami bude súčasťou Písomného výstupu pedagogického klubu Čitateľské dielne v januári 2020.</w:t>
            </w:r>
          </w:p>
        </w:tc>
      </w:tr>
      <w:tr w:rsidR="00F305BB" w:rsidRPr="007B6C7D" w:rsidTr="001357AE">
        <w:trPr>
          <w:trHeight w:val="6419"/>
        </w:trPr>
        <w:tc>
          <w:tcPr>
            <w:tcW w:w="9062" w:type="dxa"/>
            <w:gridSpan w:val="2"/>
          </w:tcPr>
          <w:p w:rsidR="00F305BB" w:rsidRPr="00C8022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205B45" w:rsidRDefault="00C8022B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CB3562">
              <w:rPr>
                <w:rFonts w:ascii="Times New Roman" w:hAnsi="Times New Roman"/>
              </w:rPr>
              <w:t>Výstup z tohto stretnutia pedagogického klubu</w:t>
            </w:r>
            <w:r w:rsidR="001357AE">
              <w:rPr>
                <w:rFonts w:ascii="Times New Roman" w:hAnsi="Times New Roman"/>
              </w:rPr>
              <w:t xml:space="preserve"> </w:t>
            </w:r>
            <w:r w:rsidRPr="00CB3562">
              <w:rPr>
                <w:rFonts w:ascii="Times New Roman" w:hAnsi="Times New Roman"/>
              </w:rPr>
              <w:t xml:space="preserve"> – Čitateľské dielne </w:t>
            </w:r>
            <w:r>
              <w:rPr>
                <w:rFonts w:ascii="Times New Roman" w:hAnsi="Times New Roman"/>
              </w:rPr>
              <w:t xml:space="preserve">je didaktický materiál (pracovný list) s uplatnením </w:t>
            </w:r>
            <w:r w:rsidR="005D5522">
              <w:rPr>
                <w:rFonts w:ascii="Times New Roman" w:hAnsi="Times New Roman"/>
              </w:rPr>
              <w:t xml:space="preserve">stratégie </w:t>
            </w:r>
            <w:r w:rsidR="0077022B">
              <w:rPr>
                <w:rFonts w:ascii="Times New Roman" w:hAnsi="Times New Roman"/>
              </w:rPr>
              <w:t>EU</w:t>
            </w:r>
            <w:r w:rsidR="005D5522">
              <w:rPr>
                <w:rFonts w:ascii="Times New Roman" w:hAnsi="Times New Roman"/>
              </w:rPr>
              <w:t xml:space="preserve">R. </w:t>
            </w:r>
            <w:r w:rsidR="00205B45">
              <w:rPr>
                <w:rFonts w:ascii="Times New Roman" w:hAnsi="Times New Roman"/>
              </w:rPr>
              <w:t>Ide o tému, ktorá je pre žiakov zaujímavá, takže budú mať dostatok vstupných vedomostí, na ktoré v priebehu práce s textom nadviažu</w:t>
            </w:r>
            <w:r w:rsidR="00374277">
              <w:rPr>
                <w:rFonts w:ascii="Times New Roman" w:hAnsi="Times New Roman"/>
              </w:rPr>
              <w:t xml:space="preserve">. </w:t>
            </w:r>
          </w:p>
          <w:p w:rsidR="00CE08C7" w:rsidRPr="0077022B" w:rsidRDefault="00374277" w:rsidP="00374277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Stratégia učenia EUR je východiskom pre metódu kritického myslenia, ktorého rozvíjanie sa v súčasnosti javí ako kľúčové, lebo je jednou zo základných zručností v otvorenej demokratickej spoločnosti. Žiaci si nacvičia postup myšlienkových procesov, ktoré začínajú informáciou a končia prijatím rozhodnutia. V priebehu uvedomovania si významu (v 2. fáze) sa môžu uplatniť aj iné </w:t>
            </w:r>
            <w:r w:rsidR="001357AE">
              <w:rPr>
                <w:rFonts w:ascii="Times New Roman" w:hAnsi="Times New Roman"/>
              </w:rPr>
              <w:t>učebné metódy (napr. INSERT), ktoré umožňujú, aby žiaci ostali počas práce s textom aktívni.</w:t>
            </w:r>
            <w:r w:rsidR="001357AE" w:rsidRPr="00374277">
              <w:rPr>
                <w:rFonts w:ascii="Times New Roman" w:hAnsi="Times New Roman"/>
              </w:rPr>
              <w:t xml:space="preserve"> Vzhľadom na tematické zameranie textu je pracovný list vhodný na využitie aj na hodinách techniky, resp. fyziky vo vyšších ročníkoch</w:t>
            </w:r>
            <w:r w:rsidR="001357AE">
              <w:rPr>
                <w:rFonts w:ascii="Times New Roman" w:hAnsi="Times New Roman"/>
              </w:rPr>
              <w:t>.</w:t>
            </w:r>
          </w:p>
          <w:p w:rsidR="00C8022B" w:rsidRPr="00CB3562" w:rsidRDefault="00CE08C7" w:rsidP="00C8022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74277">
              <w:rPr>
                <w:rFonts w:ascii="Times New Roman" w:hAnsi="Times New Roman"/>
              </w:rPr>
              <w:t>Pracovný list bude</w:t>
            </w:r>
            <w:r w:rsidR="00C8022B" w:rsidRPr="00374277">
              <w:rPr>
                <w:rFonts w:ascii="Times New Roman" w:hAnsi="Times New Roman"/>
              </w:rPr>
              <w:t xml:space="preserve"> súčasťou Písomného výstupu pedagogického klubu Čitateľské dielne v januári 2020.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CE08C7" w:rsidRDefault="00CF2DCD" w:rsidP="00CF2DCD">
            <w:pPr>
              <w:tabs>
                <w:tab w:val="left" w:pos="1114"/>
              </w:tabs>
              <w:spacing w:after="0" w:line="240" w:lineRule="auto"/>
            </w:pPr>
            <w:r>
              <w:t>PhDr</w:t>
            </w:r>
            <w:r w:rsidR="006979C5" w:rsidRPr="00CE08C7">
              <w:t>.</w:t>
            </w:r>
            <w:r>
              <w:t xml:space="preserve"> Jana Jamrišková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CE08C7" w:rsidRDefault="009C4476" w:rsidP="004A4508">
            <w:pPr>
              <w:tabs>
                <w:tab w:val="left" w:pos="1114"/>
              </w:tabs>
              <w:spacing w:after="0" w:line="240" w:lineRule="auto"/>
            </w:pPr>
            <w:r>
              <w:t>1</w:t>
            </w:r>
            <w:r w:rsidR="004A4508">
              <w:t>7</w:t>
            </w:r>
            <w:r w:rsidR="00CE08C7" w:rsidRPr="00CE08C7">
              <w:t>. 1</w:t>
            </w:r>
            <w:r w:rsidR="004A4508">
              <w:t>2</w:t>
            </w:r>
            <w:r w:rsidR="00CE08C7" w:rsidRPr="00CE08C7">
              <w:t>. 2019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594881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594881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6979C5" w:rsidRPr="00464E01" w:rsidRDefault="00181262" w:rsidP="00181262">
            <w:pPr>
              <w:tabs>
                <w:tab w:val="left" w:pos="1114"/>
              </w:tabs>
              <w:spacing w:after="0" w:line="240" w:lineRule="auto"/>
            </w:pPr>
            <w:r>
              <w:t>18. 12.2019</w:t>
            </w:r>
            <w:r w:rsidR="006979C5" w:rsidRPr="00464E01">
              <w:t>....</w:t>
            </w:r>
          </w:p>
        </w:tc>
      </w:tr>
      <w:tr w:rsidR="006979C5" w:rsidRPr="007B6C7D" w:rsidTr="007B6C7D">
        <w:tc>
          <w:tcPr>
            <w:tcW w:w="4077" w:type="dxa"/>
          </w:tcPr>
          <w:p w:rsidR="006979C5" w:rsidRPr="007B6C7D" w:rsidRDefault="006979C5" w:rsidP="006979C5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6979C5" w:rsidRPr="00464E01" w:rsidRDefault="006979C5" w:rsidP="006979C5">
            <w:pPr>
              <w:tabs>
                <w:tab w:val="left" w:pos="1114"/>
              </w:tabs>
              <w:spacing w:after="0" w:line="240" w:lineRule="auto"/>
            </w:pPr>
            <w:r w:rsidRPr="00464E01">
              <w:t>............................</w:t>
            </w: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594881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Zvýšenie kvality vzdelávania na Z</w:t>
            </w:r>
            <w:r w:rsidR="003204A9">
              <w:rPr>
                <w:spacing w:val="20"/>
                <w:sz w:val="20"/>
                <w:szCs w:val="20"/>
              </w:rPr>
              <w:t>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3204A9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594881" w:rsidRDefault="00594881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594881"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F305BB" w:rsidRDefault="00F305BB" w:rsidP="00D0796E"/>
    <w:p w:rsidR="00CE08C7" w:rsidRDefault="00CE08C7" w:rsidP="00D0796E">
      <w:pPr>
        <w:pStyle w:val="Nadpis1"/>
        <w:jc w:val="center"/>
        <w:rPr>
          <w:sz w:val="24"/>
          <w:szCs w:val="24"/>
          <w:lang w:val="sk-SK"/>
        </w:rPr>
      </w:pPr>
    </w:p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Pr="00CE08C7" w:rsidRDefault="00F305BB" w:rsidP="00D0796E">
      <w:r w:rsidRPr="00CE08C7">
        <w:t>Miesto konania stretnutia:</w:t>
      </w:r>
      <w:r w:rsidR="00F23BEF" w:rsidRPr="00CE08C7">
        <w:t xml:space="preserve"> ZŠ </w:t>
      </w:r>
      <w:r w:rsidR="003204A9" w:rsidRPr="00CE08C7">
        <w:t>Sama Cambela</w:t>
      </w:r>
    </w:p>
    <w:p w:rsidR="00F305BB" w:rsidRPr="00CE08C7" w:rsidRDefault="00F305BB" w:rsidP="00D0796E">
      <w:r w:rsidRPr="00CE08C7">
        <w:t>Dátum konania stretnutia:</w:t>
      </w:r>
      <w:r w:rsidR="00F23BEF" w:rsidRPr="00CE08C7">
        <w:t xml:space="preserve"> </w:t>
      </w:r>
      <w:r w:rsidR="003204A9" w:rsidRPr="00CE08C7">
        <w:t>.....</w:t>
      </w:r>
      <w:r w:rsidR="00CF2DCD">
        <w:t>1</w:t>
      </w:r>
      <w:r w:rsidR="004A4508">
        <w:t>7</w:t>
      </w:r>
      <w:r w:rsidR="00CE08C7" w:rsidRPr="00CE08C7">
        <w:t>. 1</w:t>
      </w:r>
      <w:r w:rsidR="004A4508">
        <w:t>2</w:t>
      </w:r>
      <w:r w:rsidR="00CE08C7" w:rsidRPr="00CE08C7">
        <w:t>. 2019</w:t>
      </w:r>
      <w:r w:rsidR="003204A9" w:rsidRPr="00CE08C7">
        <w:t>........</w:t>
      </w:r>
    </w:p>
    <w:p w:rsidR="00F305BB" w:rsidRDefault="00F305BB" w:rsidP="00D0796E">
      <w:r w:rsidRPr="00CE08C7">
        <w:t xml:space="preserve">Trvanie stretnutia: </w:t>
      </w:r>
      <w:r w:rsidR="003204A9" w:rsidRPr="00CE08C7">
        <w:t>...</w:t>
      </w:r>
      <w:r w:rsidR="00CE08C7" w:rsidRPr="00CE08C7">
        <w:t>14, 00 – 17,00 hod.</w:t>
      </w:r>
      <w:r w:rsidR="003204A9" w:rsidRPr="00CE08C7">
        <w:t>....</w:t>
      </w:r>
      <w:r w:rsidR="008727CF" w:rsidRPr="00CE08C7">
        <w:t>.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1.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Pr="007B6C7D" w:rsidRDefault="00CE08C7" w:rsidP="00CE08C7">
            <w:r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2.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PhDr. Jana Jamrišková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CE08C7" w:rsidRPr="007B6C7D" w:rsidTr="00E732ED">
        <w:trPr>
          <w:trHeight w:val="337"/>
        </w:trPr>
        <w:tc>
          <w:tcPr>
            <w:tcW w:w="544" w:type="dxa"/>
          </w:tcPr>
          <w:p w:rsidR="00CE08C7" w:rsidRPr="007B6C7D" w:rsidRDefault="00CE08C7" w:rsidP="00CE08C7">
            <w:r>
              <w:t>3.</w:t>
            </w:r>
          </w:p>
        </w:tc>
        <w:tc>
          <w:tcPr>
            <w:tcW w:w="3935" w:type="dxa"/>
            <w:vAlign w:val="bottom"/>
          </w:tcPr>
          <w:p w:rsidR="00CE08C7" w:rsidRDefault="00CE08C7" w:rsidP="00CE08C7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Marcela Kramcová</w:t>
            </w:r>
          </w:p>
        </w:tc>
        <w:tc>
          <w:tcPr>
            <w:tcW w:w="2427" w:type="dxa"/>
          </w:tcPr>
          <w:p w:rsidR="00CE08C7" w:rsidRPr="007B6C7D" w:rsidRDefault="00CE08C7" w:rsidP="00CE08C7"/>
        </w:tc>
        <w:tc>
          <w:tcPr>
            <w:tcW w:w="2306" w:type="dxa"/>
          </w:tcPr>
          <w:p w:rsidR="00CE08C7" w:rsidRDefault="00CE08C7" w:rsidP="00CE08C7">
            <w:r w:rsidRPr="00223628">
              <w:t>ZŠ Sama Cambela</w:t>
            </w:r>
          </w:p>
        </w:tc>
      </w:tr>
      <w:tr w:rsidR="003204A9" w:rsidRPr="007B6C7D" w:rsidTr="00E732ED">
        <w:trPr>
          <w:trHeight w:val="337"/>
        </w:trPr>
        <w:tc>
          <w:tcPr>
            <w:tcW w:w="544" w:type="dxa"/>
          </w:tcPr>
          <w:p w:rsidR="003204A9" w:rsidRPr="007B6C7D" w:rsidRDefault="003204A9" w:rsidP="003204A9">
            <w:r>
              <w:t>4.</w:t>
            </w:r>
          </w:p>
        </w:tc>
        <w:tc>
          <w:tcPr>
            <w:tcW w:w="3935" w:type="dxa"/>
            <w:vAlign w:val="bottom"/>
          </w:tcPr>
          <w:p w:rsidR="003204A9" w:rsidRDefault="003204A9" w:rsidP="003204A9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2427" w:type="dxa"/>
          </w:tcPr>
          <w:p w:rsidR="003204A9" w:rsidRPr="007B6C7D" w:rsidRDefault="003204A9" w:rsidP="003204A9"/>
        </w:tc>
        <w:tc>
          <w:tcPr>
            <w:tcW w:w="2306" w:type="dxa"/>
          </w:tcPr>
          <w:p w:rsidR="003204A9" w:rsidRDefault="003204A9" w:rsidP="003204A9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>
      <w:bookmarkStart w:id="0" w:name="_GoBack"/>
      <w:bookmarkEnd w:id="0"/>
    </w:p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6979C5"/>
    <w:sectPr w:rsidR="00F305BB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FB" w:rsidRDefault="000461FB" w:rsidP="00CF35D8">
      <w:pPr>
        <w:spacing w:after="0" w:line="240" w:lineRule="auto"/>
      </w:pPr>
      <w:r>
        <w:separator/>
      </w:r>
    </w:p>
  </w:endnote>
  <w:endnote w:type="continuationSeparator" w:id="0">
    <w:p w:rsidR="000461FB" w:rsidRDefault="000461FB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FB" w:rsidRDefault="000461FB" w:rsidP="00CF35D8">
      <w:pPr>
        <w:spacing w:after="0" w:line="240" w:lineRule="auto"/>
      </w:pPr>
      <w:r>
        <w:separator/>
      </w:r>
    </w:p>
  </w:footnote>
  <w:footnote w:type="continuationSeparator" w:id="0">
    <w:p w:rsidR="000461FB" w:rsidRDefault="000461FB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25EF8"/>
    <w:multiLevelType w:val="hybridMultilevel"/>
    <w:tmpl w:val="00367030"/>
    <w:lvl w:ilvl="0" w:tplc="E62EF260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69083F"/>
    <w:multiLevelType w:val="hybridMultilevel"/>
    <w:tmpl w:val="5E1A77F8"/>
    <w:lvl w:ilvl="0" w:tplc="64C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461FB"/>
    <w:rsid w:val="00053B89"/>
    <w:rsid w:val="00081664"/>
    <w:rsid w:val="000B1829"/>
    <w:rsid w:val="000B28AC"/>
    <w:rsid w:val="000E6FBF"/>
    <w:rsid w:val="000F127B"/>
    <w:rsid w:val="00105CA0"/>
    <w:rsid w:val="00116A38"/>
    <w:rsid w:val="00133874"/>
    <w:rsid w:val="001357AE"/>
    <w:rsid w:val="00137050"/>
    <w:rsid w:val="00151F6C"/>
    <w:rsid w:val="001544C0"/>
    <w:rsid w:val="001620FF"/>
    <w:rsid w:val="001745A4"/>
    <w:rsid w:val="00181262"/>
    <w:rsid w:val="0018209F"/>
    <w:rsid w:val="00195BD6"/>
    <w:rsid w:val="001A5EA2"/>
    <w:rsid w:val="001B69AF"/>
    <w:rsid w:val="001D498E"/>
    <w:rsid w:val="001D60B7"/>
    <w:rsid w:val="00203036"/>
    <w:rsid w:val="00205B45"/>
    <w:rsid w:val="00225CD9"/>
    <w:rsid w:val="00254597"/>
    <w:rsid w:val="00273AB8"/>
    <w:rsid w:val="002921F4"/>
    <w:rsid w:val="002D7F9B"/>
    <w:rsid w:val="002D7FC6"/>
    <w:rsid w:val="002E3F1A"/>
    <w:rsid w:val="00317BCD"/>
    <w:rsid w:val="003204A9"/>
    <w:rsid w:val="0034733D"/>
    <w:rsid w:val="003700F7"/>
    <w:rsid w:val="003729D3"/>
    <w:rsid w:val="00374277"/>
    <w:rsid w:val="003F10E0"/>
    <w:rsid w:val="00410521"/>
    <w:rsid w:val="00423CC3"/>
    <w:rsid w:val="00446402"/>
    <w:rsid w:val="00464E01"/>
    <w:rsid w:val="00490092"/>
    <w:rsid w:val="004A4508"/>
    <w:rsid w:val="004A474B"/>
    <w:rsid w:val="004C05D7"/>
    <w:rsid w:val="004F368A"/>
    <w:rsid w:val="00507CF5"/>
    <w:rsid w:val="00535FBF"/>
    <w:rsid w:val="005361EC"/>
    <w:rsid w:val="00540913"/>
    <w:rsid w:val="00541786"/>
    <w:rsid w:val="00541863"/>
    <w:rsid w:val="0055263C"/>
    <w:rsid w:val="00583AF0"/>
    <w:rsid w:val="00584EBE"/>
    <w:rsid w:val="0058712F"/>
    <w:rsid w:val="00592E27"/>
    <w:rsid w:val="00594881"/>
    <w:rsid w:val="005B2FB3"/>
    <w:rsid w:val="005D5522"/>
    <w:rsid w:val="00626B06"/>
    <w:rsid w:val="006377DA"/>
    <w:rsid w:val="00660DD0"/>
    <w:rsid w:val="006979C5"/>
    <w:rsid w:val="006A3977"/>
    <w:rsid w:val="006A4C80"/>
    <w:rsid w:val="006B5D97"/>
    <w:rsid w:val="006B6CBE"/>
    <w:rsid w:val="006C007C"/>
    <w:rsid w:val="006C1337"/>
    <w:rsid w:val="006C1DD1"/>
    <w:rsid w:val="006E77C5"/>
    <w:rsid w:val="0077022B"/>
    <w:rsid w:val="007A5170"/>
    <w:rsid w:val="007A6CFA"/>
    <w:rsid w:val="007B49B6"/>
    <w:rsid w:val="007B6C7D"/>
    <w:rsid w:val="007C66A9"/>
    <w:rsid w:val="007F7928"/>
    <w:rsid w:val="008058B8"/>
    <w:rsid w:val="0082060E"/>
    <w:rsid w:val="00851FE6"/>
    <w:rsid w:val="008721DB"/>
    <w:rsid w:val="008727CF"/>
    <w:rsid w:val="008A0379"/>
    <w:rsid w:val="008C3B1D"/>
    <w:rsid w:val="008C3C41"/>
    <w:rsid w:val="008E2733"/>
    <w:rsid w:val="008F19F0"/>
    <w:rsid w:val="00903840"/>
    <w:rsid w:val="0096658C"/>
    <w:rsid w:val="009B2344"/>
    <w:rsid w:val="009C3018"/>
    <w:rsid w:val="009C4476"/>
    <w:rsid w:val="009F457B"/>
    <w:rsid w:val="009F4F76"/>
    <w:rsid w:val="00A67AB2"/>
    <w:rsid w:val="00A71E3A"/>
    <w:rsid w:val="00A9043F"/>
    <w:rsid w:val="00AB111C"/>
    <w:rsid w:val="00AF5989"/>
    <w:rsid w:val="00B279ED"/>
    <w:rsid w:val="00B440DB"/>
    <w:rsid w:val="00B63FD3"/>
    <w:rsid w:val="00B71530"/>
    <w:rsid w:val="00BB5601"/>
    <w:rsid w:val="00BF2F35"/>
    <w:rsid w:val="00BF4683"/>
    <w:rsid w:val="00BF4792"/>
    <w:rsid w:val="00C065E1"/>
    <w:rsid w:val="00C507F1"/>
    <w:rsid w:val="00C66668"/>
    <w:rsid w:val="00C8022B"/>
    <w:rsid w:val="00CA0B4D"/>
    <w:rsid w:val="00CA771E"/>
    <w:rsid w:val="00CB1E33"/>
    <w:rsid w:val="00CC6364"/>
    <w:rsid w:val="00CD1C42"/>
    <w:rsid w:val="00CD7D64"/>
    <w:rsid w:val="00CE08C7"/>
    <w:rsid w:val="00CF2DCD"/>
    <w:rsid w:val="00CF35D8"/>
    <w:rsid w:val="00D034A2"/>
    <w:rsid w:val="00D0796E"/>
    <w:rsid w:val="00D478B9"/>
    <w:rsid w:val="00D5619C"/>
    <w:rsid w:val="00D64066"/>
    <w:rsid w:val="00DA6ABC"/>
    <w:rsid w:val="00DB35FE"/>
    <w:rsid w:val="00DD1AA4"/>
    <w:rsid w:val="00DF5976"/>
    <w:rsid w:val="00E36C97"/>
    <w:rsid w:val="00E926D8"/>
    <w:rsid w:val="00E939E3"/>
    <w:rsid w:val="00EC5730"/>
    <w:rsid w:val="00ED55B6"/>
    <w:rsid w:val="00EF31D8"/>
    <w:rsid w:val="00F23BEF"/>
    <w:rsid w:val="00F27F47"/>
    <w:rsid w:val="00F305BB"/>
    <w:rsid w:val="00F36E61"/>
    <w:rsid w:val="00F61779"/>
    <w:rsid w:val="00F97902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ACB4C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FE6"/>
    <w:rPr>
      <w:color w:val="0000FF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C66668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66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pc-edu.sk/sites/default/files/rozhlady-casopis/pedagogicke_rozhlady_2016_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c-edu.sk/sites/default/files/publikacie/_itate_sk__gramotnos__na_vyu_ovan_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Feková Eva</dc:creator>
  <cp:lastModifiedBy>zborovňa</cp:lastModifiedBy>
  <cp:revision>8</cp:revision>
  <cp:lastPrinted>2020-02-11T14:43:00Z</cp:lastPrinted>
  <dcterms:created xsi:type="dcterms:W3CDTF">2019-12-16T19:09:00Z</dcterms:created>
  <dcterms:modified xsi:type="dcterms:W3CDTF">2020-02-11T14:43:00Z</dcterms:modified>
</cp:coreProperties>
</file>