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5D" w:rsidRPr="000C655D" w:rsidRDefault="000C655D" w:rsidP="000C655D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</w:pPr>
      <w:r w:rsidRPr="000C655D"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  <w:t>Učiteľ/ka ZŠ (2. stupeň)</w:t>
      </w:r>
    </w:p>
    <w:p w:rsidR="000C655D" w:rsidRPr="000C655D" w:rsidRDefault="000C655D" w:rsidP="000C655D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  <w:t>Základná škola Sama Cambela, Slovenská Ľupča</w:t>
      </w:r>
    </w:p>
    <w:p w:rsidR="000C655D" w:rsidRPr="000C655D" w:rsidRDefault="000C655D" w:rsidP="000C655D">
      <w:pPr>
        <w:shd w:val="clear" w:color="auto" w:fill="FFFFCC"/>
        <w:spacing w:before="225" w:after="30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Informácie o pracovnom mieste</w:t>
      </w:r>
    </w:p>
    <w:p w:rsidR="000C655D" w:rsidRPr="000C655D" w:rsidRDefault="000C655D" w:rsidP="000C65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Miesto výkonu práce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Školská 14, Slovenská Ľupča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Aprobácia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Dejepis, Informatika, Náboženská výchova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Termín nástupu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1.9.2022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31.5.2022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Rozsah úväzku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100% (zastupovanie počas rodičovskej dovolenky)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180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Počet študentov školy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339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216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Platové podmienky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Plat zamestnanca bude zohľadňovať zákon 553/2003 Z. z. a Nariadenie vlády Slovenskej republiky č. 338/2019 Z. z., ktorými sa ustanovujú "Platové tarify PZ a OZ a zvýšenie platových taríf v závislosti od dĺžky započítanej praxe, účinné od 1. 1. 2020”.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252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Príležitosť pre ľudí z Ukrajiny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nie</w:t>
      </w:r>
    </w:p>
    <w:p w:rsidR="000C655D" w:rsidRPr="000C655D" w:rsidRDefault="000C655D" w:rsidP="000C655D">
      <w:pPr>
        <w:shd w:val="clear" w:color="auto" w:fill="FFFFCC"/>
        <w:spacing w:before="225" w:after="300" w:line="240" w:lineRule="auto"/>
        <w:ind w:left="288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Požiadavky na uchádzača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288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Znalosť práce s PC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Word, Microsoft Excel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324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Vzdelanie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MŠVVsŠ</w:t>
      </w:r>
      <w:proofErr w:type="spellEnd"/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SR 1/2020 Z. z.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360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Ďalšie požiadavky</w:t>
      </w:r>
    </w:p>
    <w:p w:rsidR="000C655D" w:rsidRPr="000C655D" w:rsidRDefault="000C655D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Uchádzač spĺňa kvalifikačné predpoklady na výkon pracovnej činnosti pedagogického zamestnanca.</w:t>
      </w: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Náboženská výchova katolícka</w:t>
      </w:r>
    </w:p>
    <w:p w:rsidR="000C655D" w:rsidRPr="000C655D" w:rsidRDefault="000C655D" w:rsidP="000C655D">
      <w:pPr>
        <w:shd w:val="clear" w:color="auto" w:fill="FFFFCC"/>
        <w:spacing w:before="225" w:after="300" w:line="240" w:lineRule="auto"/>
        <w:ind w:left="396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0C655D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Kontaktné informácie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396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Adresa školy alebo zariadenia</w:t>
      </w:r>
    </w:p>
    <w:p w:rsidR="000C655D" w:rsidRPr="000C655D" w:rsidRDefault="00D07EF8" w:rsidP="000C655D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hyperlink r:id="rId4" w:tgtFrame="_blank" w:history="1">
        <w:r w:rsidR="000C655D" w:rsidRPr="000C655D">
          <w:rPr>
            <w:rFonts w:ascii="Tahoma" w:eastAsia="Times New Roman" w:hAnsi="Tahoma" w:cs="Tahoma"/>
            <w:color w:val="3EAE49"/>
            <w:sz w:val="20"/>
            <w:szCs w:val="20"/>
            <w:u w:val="single"/>
            <w:lang w:eastAsia="sk-SK"/>
          </w:rPr>
          <w:t>Základná škola Sama Cambela</w:t>
        </w:r>
      </w:hyperlink>
      <w:r w:rsidR="000C655D"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Školská 14</w:t>
      </w:r>
      <w:r w:rsidR="000C655D"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97613 Slovenská Ľupča</w:t>
      </w:r>
      <w:r w:rsidR="000C655D"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hyperlink r:id="rId5" w:tgtFrame="_blank" w:history="1">
        <w:r w:rsidR="000C655D" w:rsidRPr="000C655D">
          <w:rPr>
            <w:rFonts w:ascii="Tahoma" w:eastAsia="Times New Roman" w:hAnsi="Tahoma" w:cs="Tahoma"/>
            <w:color w:val="3EAE49"/>
            <w:sz w:val="20"/>
            <w:szCs w:val="20"/>
            <w:u w:val="single"/>
            <w:lang w:eastAsia="sk-SK"/>
          </w:rPr>
          <w:t>www.zsslovlupca.edu.sk</w:t>
        </w:r>
      </w:hyperlink>
      <w:r w:rsidR="000C655D"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0484187777,0482400088</w:t>
      </w:r>
    </w:p>
    <w:p w:rsidR="000C655D" w:rsidRPr="000C655D" w:rsidRDefault="000C655D" w:rsidP="000C655D">
      <w:pPr>
        <w:shd w:val="clear" w:color="auto" w:fill="FFFFFF"/>
        <w:spacing w:after="0" w:line="240" w:lineRule="auto"/>
        <w:ind w:left="4320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0C655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Kontaktná osoba</w:t>
      </w:r>
    </w:p>
    <w:p w:rsidR="00C64654" w:rsidRPr="00D07EF8" w:rsidRDefault="000C655D" w:rsidP="00D07EF8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proofErr w:type="spellStart"/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PaedDr.René</w:t>
      </w:r>
      <w:proofErr w:type="spellEnd"/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Kováčik</w:t>
      </w:r>
      <w:r w:rsidRPr="000C655D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0482400077</w:t>
      </w:r>
      <w:bookmarkStart w:id="0" w:name="_GoBack"/>
      <w:bookmarkEnd w:id="0"/>
    </w:p>
    <w:sectPr w:rsidR="00C64654" w:rsidRPr="00D07EF8" w:rsidSect="000C65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D"/>
    <w:rsid w:val="000C655D"/>
    <w:rsid w:val="00C64654"/>
    <w:rsid w:val="00D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833"/>
  <w15:chartTrackingRefBased/>
  <w15:docId w15:val="{62520171-3386-475D-A15B-F158B92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C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sslovlupca.edu.sk/" TargetMode="External"/><Relationship Id="rId4" Type="http://schemas.openxmlformats.org/officeDocument/2006/relationships/hyperlink" Target="https://www.edujobs.sk/praca?schools=600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Jakubmasiarik@outlook.sk</cp:lastModifiedBy>
  <cp:revision>2</cp:revision>
  <cp:lastPrinted>2022-05-09T06:38:00Z</cp:lastPrinted>
  <dcterms:created xsi:type="dcterms:W3CDTF">2022-05-09T06:37:00Z</dcterms:created>
  <dcterms:modified xsi:type="dcterms:W3CDTF">2022-05-09T08:28:00Z</dcterms:modified>
</cp:coreProperties>
</file>